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PDRA01 Operations Manual — DRAFT</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pStyle w:val="Heading2"/>
        <w:spacing w:after="110" w:before="220"/>
      </w:pPr>
      <w:r>
        <w:t xml:space="preserve">Document details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UAS operator ID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OP-XXXXXXXXXXXX</w:t>
            </w:r>
          </w:p>
        </w:tc>
      </w:tr>
      <w:tr>
        <w:tc>
          <w:tcPr>
            <w:tcBorders>
              <w:top w:val="single" w:color="9CA3AF" w:sz="2"/>
              <w:left w:val="single" w:color="9CA3AF" w:sz="2"/>
              <w:bottom w:val="single" w:color="9CA3AF" w:sz="2"/>
              <w:right w:val="single" w:color="9CA3AF" w:sz="2"/>
            </w:tcBorders>
          </w:tcPr>
          <w:p>
            <w:pPr>
              <w:spacing w:after="40"/>
            </w:pPr>
            <w:r>
              <w:rPr>
                <w:b/>
                <w:bCs/>
              </w:rPr>
              <w:t xml:space="preserve">Accountable manager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r>
        <w:tc>
          <w:tcPr>
            <w:tcBorders>
              <w:top w:val="single" w:color="9CA3AF" w:sz="2"/>
              <w:left w:val="single" w:color="9CA3AF" w:sz="2"/>
              <w:bottom w:val="single" w:color="9CA3AF" w:sz="2"/>
              <w:right w:val="single" w:color="9CA3AF" w:sz="2"/>
            </w:tcBorders>
          </w:tcPr>
          <w:p>
            <w:pPr>
              <w:spacing w:after="40"/>
            </w:pPr>
            <w:r>
              <w:rPr>
                <w:b/>
                <w:bCs/>
              </w:rPr>
              <w:t xml:space="preserve">Company/business/entity</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Skyline Roof Surveys Ltd</w:t>
            </w:r>
          </w:p>
        </w:tc>
      </w:tr>
      <w:tr>
        <w:tc>
          <w:tcPr>
            <w:tcBorders>
              <w:top w:val="single" w:color="9CA3AF" w:sz="2"/>
              <w:left w:val="single" w:color="9CA3AF" w:sz="2"/>
              <w:bottom w:val="single" w:color="9CA3AF" w:sz="2"/>
              <w:right w:val="single" w:color="9CA3AF" w:sz="2"/>
            </w:tcBorders>
          </w:tcPr>
          <w:p>
            <w:pPr>
              <w:spacing w:after="40"/>
            </w:pPr>
            <w:r>
              <w:rPr>
                <w:b/>
                <w:bCs/>
              </w:rPr>
              <w:t xml:space="preserve">Version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1.0 (draft)</w:t>
            </w:r>
          </w:p>
        </w:tc>
      </w:tr>
      <w:tr>
        <w:tc>
          <w:tcPr>
            <w:tcBorders>
              <w:top w:val="single" w:color="9CA3AF" w:sz="2"/>
              <w:left w:val="single" w:color="9CA3AF" w:sz="2"/>
              <w:bottom w:val="single" w:color="9CA3AF" w:sz="2"/>
              <w:right w:val="single" w:color="9CA3AF" w:sz="2"/>
            </w:tcBorders>
          </w:tcPr>
          <w:p>
            <w:pPr>
              <w:spacing w:after="40"/>
            </w:pPr>
            <w:r>
              <w:rPr>
                <w:b/>
                <w:bCs/>
              </w:rPr>
              <w:t xml:space="preserve">Date of issue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2026-07-09</w:t>
            </w:r>
          </w:p>
        </w:tc>
      </w:tr>
    </w:tbl>
    <w:p>
      <w:pPr>
        <w:spacing w:after="120"/>
      </w:pPr>
      <w:r>
        <w:t xml:space="preserve">This UAS PDRA01 operations manual includes organisation detail, safety information and operational procedures intended to support a PDRA01 operational authorisation under UK Reg (EU) No 2019/947 and CAP 722H. It is a DRAFT generated from your answers and must be reviewed, completed and adopted by the accountable manager before use.</w:t>
      </w:r>
    </w:p>
    <w:p>
      <w:pPr>
        <w:pStyle w:val="Heading2"/>
        <w:spacing w:after="110" w:before="220"/>
      </w:pPr>
      <w:r>
        <w:t xml:space="preserve">Amendment record</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Version 1.0</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2026-07-09 — first draft generated by Drone Ready. Review required.</w:t>
            </w:r>
          </w:p>
        </w:tc>
      </w:tr>
    </w:tbl>
    <w:p>
      <w:pPr>
        <w:pStyle w:val="Heading1"/>
        <w:spacing w:after="140" w:before="280"/>
      </w:pPr>
      <w:r>
        <w:t xml:space="preserve">Volume 1 — Section 1: The organisation</w:t>
      </w:r>
    </w:p>
    <w:p>
      <w:pPr>
        <w:pStyle w:val="Heading2"/>
        <w:spacing w:after="110" w:before="220"/>
      </w:pPr>
      <w:r>
        <w:t xml:space="preserve">1.1 Introduction</w:t>
      </w:r>
    </w:p>
    <w:p>
      <w:pPr>
        <w:spacing w:after="120"/>
      </w:pPr>
      <w:r>
        <w:t xml:space="preserve">This operations manual describes how Skyline Roof Surveys Ltd conducts unmanned aircraft operations under a PDRA01 operational authorisation. It reflects the operator's actual activities and aircraft and is binding on all personnel involved in flight operations.</w:t>
      </w:r>
    </w:p>
    <w:p>
      <w:pPr>
        <w:pStyle w:val="Heading2"/>
        <w:spacing w:after="110" w:before="220"/>
      </w:pPr>
      <w:r>
        <w:t xml:space="preserve">1.2 Safety statement</w:t>
      </w:r>
    </w:p>
    <w:p>
      <w:pPr>
        <w:spacing w:after="120"/>
      </w:pPr>
      <w:r>
        <w:t xml:space="preserve">Safety is the first priority in all our operations. We are committed to conducting every flight in accordance with this operations manual, the conditions of our operational authorisation, and the UK UAS regulations. Any member of the flight crew may stop an operation on safety grounds at any time.</w:t>
      </w:r>
    </w:p>
    <w:p>
      <w:pPr>
        <w:spacing w:after="120"/>
      </w:pPr>
      <w:r>
        <w:t xml:space="preserve">Signed (accountable manager): J. Smith — signature required before use.</w:t>
      </w:r>
    </w:p>
    <w:p>
      <w:pPr>
        <w:pStyle w:val="Heading2"/>
        <w:spacing w:after="110" w:before="220"/>
      </w:pPr>
      <w:r>
        <w:t xml:space="preserve">1.3 Safety policy</w:t>
      </w:r>
    </w:p>
    <w:p>
      <w:pPr>
        <w:spacing w:after="120"/>
      </w:pPr>
      <w:r>
        <w:t xml:space="preserve">We operate a just-culture safety policy: occurrences and errors are reported openly and used to improve procedures, not to apportion blame. Procedures in this manual are reviewed after any occurrence, after any material change to aircraft or operations, and at least annually.</w:t>
      </w:r>
    </w:p>
    <w:p>
      <w:pPr>
        <w:pStyle w:val="Heading3"/>
        <w:spacing w:after="90" w:before="180"/>
      </w:pPr>
      <w:r>
        <w:t xml:space="preserve">1.3.1 Safety targets</w:t>
      </w:r>
    </w:p>
    <w:p>
      <w:pPr>
        <w:pStyle w:val="ListParagraph"/>
        <w:numPr>
          <w:ilvl w:val="0"/>
          <w:numId w:val="1"/>
        </w:numPr>
        <w:spacing w:after="60"/>
      </w:pPr>
      <w:r>
        <w:t xml:space="preserve">Zero injuries to any person arising from our UAS operations.</w:t>
      </w:r>
    </w:p>
    <w:p>
      <w:pPr>
        <w:pStyle w:val="ListParagraph"/>
        <w:numPr>
          <w:ilvl w:val="0"/>
          <w:numId w:val="1"/>
        </w:numPr>
        <w:spacing w:after="60"/>
      </w:pPr>
      <w:r>
        <w:t xml:space="preserve">Zero infringements of airspace restrictions.</w:t>
      </w:r>
    </w:p>
    <w:p>
      <w:pPr>
        <w:pStyle w:val="ListParagraph"/>
        <w:numPr>
          <w:ilvl w:val="0"/>
          <w:numId w:val="1"/>
        </w:numPr>
        <w:spacing w:after="60"/>
      </w:pPr>
      <w:r>
        <w:t xml:space="preserve">100% of flights preceded by the pre-flight procedures in Section 2.</w:t>
      </w:r>
    </w:p>
    <w:p>
      <w:pPr>
        <w:pStyle w:val="ListParagraph"/>
        <w:numPr>
          <w:ilvl w:val="0"/>
          <w:numId w:val="1"/>
        </w:numPr>
        <w:spacing w:after="60"/>
      </w:pPr>
      <w:r>
        <w:t xml:space="preserve">All occurrences reported and reviewed per Section 2.17.</w:t>
      </w:r>
    </w:p>
    <w:p>
      <w:pPr>
        <w:pStyle w:val="Heading2"/>
        <w:spacing w:after="110" w:before="220"/>
      </w:pPr>
      <w:r>
        <w:t xml:space="preserve">1.4 Insurance</w:t>
      </w:r>
    </w:p>
    <w:p>
      <w:pPr>
        <w:spacing w:after="120"/>
      </w:pPr>
      <w:r>
        <w:t xml:space="preserve">The operator must hold insurance meeting the requirements of UK Regulation (EC) No 785/2004. (Government departments who self-insure are the only exception.)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Insurance provider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Coverdrone</w:t>
            </w:r>
          </w:p>
        </w:tc>
      </w:tr>
      <w:tr>
        <w:tc>
          <w:tcPr>
            <w:tcBorders>
              <w:top w:val="single" w:color="9CA3AF" w:sz="2"/>
              <w:left w:val="single" w:color="9CA3AF" w:sz="2"/>
              <w:bottom w:val="single" w:color="9CA3AF" w:sz="2"/>
              <w:right w:val="single" w:color="9CA3AF" w:sz="2"/>
            </w:tcBorders>
          </w:tcPr>
          <w:p>
            <w:pPr>
              <w:spacing w:after="40"/>
            </w:pPr>
            <w:r>
              <w:rPr>
                <w:b/>
                <w:bCs/>
              </w:rPr>
              <w:t xml:space="preserve">Policy number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CD-000000</w:t>
            </w:r>
          </w:p>
        </w:tc>
      </w:tr>
      <w:tr>
        <w:tc>
          <w:tcPr>
            <w:tcBorders>
              <w:top w:val="single" w:color="9CA3AF" w:sz="2"/>
              <w:left w:val="single" w:color="9CA3AF" w:sz="2"/>
              <w:bottom w:val="single" w:color="9CA3AF" w:sz="2"/>
              <w:right w:val="single" w:color="9CA3AF" w:sz="2"/>
            </w:tcBorders>
          </w:tcPr>
          <w:p>
            <w:pPr>
              <w:spacing w:after="40"/>
            </w:pPr>
            <w:r>
              <w:rPr>
                <w:b/>
                <w:bCs/>
              </w:rPr>
              <w:t xml:space="preserve">Expiry date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(add expiry date)</w:t>
            </w:r>
          </w:p>
        </w:tc>
      </w:tr>
    </w:tbl>
    <w:p>
      <w:pPr>
        <w:pStyle w:val="Heading2"/>
        <w:spacing w:after="110" w:before="220"/>
      </w:pPr>
      <w:r>
        <w:t xml:space="preserve">1.5 Nominated Personnel</w:t>
      </w:r>
    </w:p>
    <w:p>
      <w:pPr>
        <w:pStyle w:val="Heading3"/>
        <w:spacing w:after="90" w:before="180"/>
      </w:pPr>
      <w:r>
        <w:t xml:space="preserve">1.5.1 Change Management</w:t>
      </w:r>
    </w:p>
    <w:p>
      <w:pPr>
        <w:spacing w:after="120"/>
      </w:pPr>
      <w:r>
        <w:t xml:space="preserve">Changes to nominated personnel, aircraft, or the scope of operations are recorded in the amendment record and communicated to all crew before their next flight. Material changes are re-assessed against the PDRA01 conditions before operations continue.</w:t>
      </w:r>
    </w:p>
    <w:p>
      <w:pPr>
        <w:pStyle w:val="Heading3"/>
        <w:spacing w:after="90" w:before="180"/>
      </w:pPr>
      <w:r>
        <w:t xml:space="preserve">1.5.2 Accountable manager</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Name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r>
        <w:tc>
          <w:tcPr>
            <w:tcBorders>
              <w:top w:val="single" w:color="9CA3AF" w:sz="2"/>
              <w:left w:val="single" w:color="9CA3AF" w:sz="2"/>
              <w:bottom w:val="single" w:color="9CA3AF" w:sz="2"/>
              <w:right w:val="single" w:color="9CA3AF" w:sz="2"/>
            </w:tcBorders>
          </w:tcPr>
          <w:p>
            <w:pPr>
              <w:spacing w:after="40"/>
            </w:pPr>
            <w:r>
              <w:rPr>
                <w:b/>
                <w:bCs/>
              </w:rPr>
              <w:t xml:space="preserve">Contact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j.smith@skyline.example · 07700 900123</w:t>
            </w:r>
          </w:p>
        </w:tc>
      </w:tr>
    </w:tbl>
    <w:p>
      <w:pPr>
        <w:pStyle w:val="Heading3"/>
        <w:spacing w:after="90" w:before="180"/>
      </w:pPr>
      <w:r>
        <w:t xml:space="preserve">1.5.3 Remote pilot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Name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r>
        <w:tc>
          <w:tcPr>
            <w:tcBorders>
              <w:top w:val="single" w:color="9CA3AF" w:sz="2"/>
              <w:left w:val="single" w:color="9CA3AF" w:sz="2"/>
              <w:bottom w:val="single" w:color="9CA3AF" w:sz="2"/>
              <w:right w:val="single" w:color="9CA3AF" w:sz="2"/>
            </w:tcBorders>
          </w:tcPr>
          <w:p>
            <w:pPr>
              <w:spacing w:after="40"/>
            </w:pPr>
            <w:r>
              <w:rPr>
                <w:b/>
                <w:bCs/>
              </w:rPr>
              <w:t xml:space="preserve">Relationship to operator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Owner-operator</w:t>
            </w:r>
          </w:p>
        </w:tc>
      </w:tr>
      <w:tr>
        <w:tc>
          <w:tcPr>
            <w:tcBorders>
              <w:top w:val="single" w:color="9CA3AF" w:sz="2"/>
              <w:left w:val="single" w:color="9CA3AF" w:sz="2"/>
              <w:bottom w:val="single" w:color="9CA3AF" w:sz="2"/>
              <w:right w:val="single" w:color="9CA3AF" w:sz="2"/>
            </w:tcBorders>
          </w:tcPr>
          <w:p>
            <w:pPr>
              <w:spacing w:after="40"/>
            </w:pPr>
            <w:r>
              <w:rPr>
                <w:b/>
                <w:bCs/>
              </w:rPr>
              <w:t xml:space="preserve">Flyer ID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FLY-XXXXXXXXXXXX</w:t>
            </w:r>
          </w:p>
        </w:tc>
      </w:tr>
      <w:tr>
        <w:tc>
          <w:tcPr>
            <w:tcBorders>
              <w:top w:val="single" w:color="9CA3AF" w:sz="2"/>
              <w:left w:val="single" w:color="9CA3AF" w:sz="2"/>
              <w:bottom w:val="single" w:color="9CA3AF" w:sz="2"/>
              <w:right w:val="single" w:color="9CA3AF" w:sz="2"/>
            </w:tcBorders>
          </w:tcPr>
          <w:p>
            <w:pPr>
              <w:spacing w:after="40"/>
            </w:pPr>
            <w:r>
              <w:rPr>
                <w:b/>
                <w:bCs/>
              </w:rPr>
              <w:t xml:space="preserve">RPC-L1 / GVC reference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[SAMPLE] GVC-12345 · issued by an RAE</w:t>
            </w:r>
          </w:p>
        </w:tc>
      </w:tr>
    </w:tbl>
    <w:p>
      <w:pPr>
        <w:pStyle w:val="Heading2"/>
        <w:spacing w:after="110" w:before="220"/>
      </w:pPr>
      <w:r>
        <w:t xml:space="preserve">1.6 Responsibilities and duties of the UAS operator, remote pilot and support personnel</w:t>
      </w:r>
    </w:p>
    <w:p>
      <w:pPr>
        <w:pStyle w:val="Heading3"/>
        <w:spacing w:after="90" w:before="180"/>
      </w:pPr>
      <w:r>
        <w:t xml:space="preserve">1.6.1 UAS operator</w:t>
      </w:r>
    </w:p>
    <w:p>
      <w:pPr>
        <w:pStyle w:val="ListParagraph"/>
        <w:numPr>
          <w:ilvl w:val="0"/>
          <w:numId w:val="1"/>
        </w:numPr>
        <w:spacing w:after="60"/>
      </w:pPr>
      <w:r>
        <w:t xml:space="preserve">Holds and maintains the operational authorisation and this operations manual.</w:t>
      </w:r>
    </w:p>
    <w:p>
      <w:pPr>
        <w:pStyle w:val="ListParagraph"/>
        <w:numPr>
          <w:ilvl w:val="0"/>
          <w:numId w:val="1"/>
        </w:numPr>
        <w:spacing w:after="60"/>
      </w:pPr>
      <w:r>
        <w:t xml:space="preserve">The UAS operator must hold a valid CAA Operator ID and display it on every unmanned aircraft.</w:t>
      </w:r>
    </w:p>
    <w:p>
      <w:pPr>
        <w:pStyle w:val="ListParagraph"/>
        <w:numPr>
          <w:ilvl w:val="0"/>
          <w:numId w:val="1"/>
        </w:numPr>
        <w:spacing w:after="60"/>
      </w:pPr>
      <w:r>
        <w:t xml:space="preserve">Ensures aircraft are maintained per Section 2.19 and records kept per Section 2.20.</w:t>
      </w:r>
    </w:p>
    <w:p>
      <w:pPr>
        <w:pStyle w:val="ListParagraph"/>
        <w:numPr>
          <w:ilvl w:val="0"/>
          <w:numId w:val="1"/>
        </w:numPr>
        <w:spacing w:after="60"/>
      </w:pPr>
      <w:r>
        <w:t xml:space="preserve">Ensures every remote pilot meets the qualification and currency requirements in Section 1.7.</w:t>
      </w:r>
    </w:p>
    <w:p>
      <w:pPr>
        <w:pStyle w:val="Heading3"/>
        <w:spacing w:after="90" w:before="180"/>
      </w:pPr>
      <w:r>
        <w:t xml:space="preserve">1.6.2 Remote pilot</w:t>
      </w:r>
    </w:p>
    <w:p>
      <w:pPr>
        <w:pStyle w:val="ListParagraph"/>
        <w:numPr>
          <w:ilvl w:val="0"/>
          <w:numId w:val="1"/>
        </w:numPr>
        <w:spacing w:after="60"/>
      </w:pPr>
      <w:r>
        <w:t xml:space="preserve">Is responsible for the safe conduct of each flight and may refuse or stop any flight on safety grounds.</w:t>
      </w:r>
    </w:p>
    <w:p>
      <w:pPr>
        <w:pStyle w:val="ListParagraph"/>
        <w:numPr>
          <w:ilvl w:val="0"/>
          <w:numId w:val="1"/>
        </w:numPr>
        <w:spacing w:after="60"/>
      </w:pPr>
      <w:r>
        <w:t xml:space="preserve">Completes the site, pre-flight, in-flight and post-flight procedures in Section 2.</w:t>
      </w:r>
    </w:p>
    <w:p>
      <w:pPr>
        <w:pStyle w:val="ListParagraph"/>
        <w:numPr>
          <w:ilvl w:val="0"/>
          <w:numId w:val="1"/>
        </w:numPr>
        <w:spacing w:after="60"/>
      </w:pPr>
      <w:r>
        <w:t xml:space="preserve">Flights must be conducted within visual line of sight (VLOS) and must not exceed 500 m from the remote pilot. A visual observer may be used only if co-located with the remote pilot.</w:t>
      </w:r>
    </w:p>
    <w:p>
      <w:pPr>
        <w:pStyle w:val="Heading3"/>
        <w:spacing w:after="90" w:before="180"/>
      </w:pPr>
      <w:r>
        <w:t xml:space="preserve">1.6.3 Support personnel</w:t>
      </w:r>
    </w:p>
    <w:p>
      <w:pPr>
        <w:spacing w:after="120"/>
      </w:pPr>
      <w:r>
        <w:t xml:space="preserve">Visual observers are co-located with the remote pilot, maintain visual contact with the aircraft and scan for other airspace users and ground hazards, communicating per Section 2.7. Safety marshals control cordons and public access per Section 2.10.</w:t>
      </w:r>
    </w:p>
    <w:p>
      <w:pPr>
        <w:pStyle w:val="Heading3"/>
        <w:spacing w:after="90" w:before="180"/>
      </w:pPr>
      <w:r>
        <w:t xml:space="preserve">1.6.3.3 Maintenance personnel</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Maintenance responsible person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bl>
    <w:p>
      <w:pPr>
        <w:pStyle w:val="Heading2"/>
        <w:spacing w:after="110" w:before="220"/>
      </w:pPr>
      <w:r>
        <w:t xml:space="preserve">1.7 Qualification, role training, currency and competency</w:t>
      </w:r>
    </w:p>
    <w:p>
      <w:pPr>
        <w:pStyle w:val="Heading3"/>
        <w:spacing w:after="90" w:before="180"/>
      </w:pPr>
      <w:r>
        <w:t xml:space="preserve">1.7.1 UAS operator</w:t>
      </w:r>
    </w:p>
    <w:p>
      <w:pPr>
        <w:spacing w:after="120"/>
      </w:pPr>
      <w:r>
        <w:t xml:space="preserve">The operator maintains evidence of all crew qualifications and currency, available for CAA audit on request.</w:t>
      </w:r>
    </w:p>
    <w:p>
      <w:pPr>
        <w:pStyle w:val="Heading3"/>
        <w:spacing w:after="90" w:before="180"/>
      </w:pPr>
      <w:r>
        <w:t xml:space="preserve">1.7.2 Remote pilot</w:t>
      </w:r>
    </w:p>
    <w:p>
      <w:pPr>
        <w:spacing w:after="120"/>
      </w:pPr>
      <w:r>
        <w:t xml:space="preserve">The remote pilot must hold a valid Flyer ID and either a Level 1 Remote Pilot Certificate (RPC-L1) or a General VLOS Certificate (GVC) appropriate to the aircraft category, and be employed or contracted by the UAS operator.</w:t>
      </w:r>
    </w:p>
    <w:p>
      <w:pPr>
        <w:spacing w:after="120"/>
      </w:pPr>
      <w:r>
        <w:t xml:space="preserve">Before flying under a PDRA01 authorisation the remote pilot must have completed at least 2 hours of flight time in the previous 3 months on the same or equivalent unmanned aircraft.</w:t>
      </w:r>
    </w:p>
    <w:p>
      <w:pPr>
        <w:spacing w:after="120"/>
      </w:pPr>
      <w:r>
        <w:t xml:space="preserve">Certificate and currency evidence is retained with the remote pilot logbook in this pack.</w:t>
      </w:r>
    </w:p>
    <w:p>
      <w:pPr>
        <w:spacing w:after="120"/>
      </w:pPr>
      <w:r>
        <w:t xml:space="preserve">The GVC will stop being issued on 31 December 2027; after that date only RPC-L1, RPC-L2 and RPC-L3 will be available. Existing GVCs remain valid per their terms.</w:t>
      </w:r>
    </w:p>
    <w:p>
      <w:pPr>
        <w:pStyle w:val="Heading3"/>
        <w:spacing w:after="90" w:before="180"/>
      </w:pPr>
      <w:r>
        <w:t xml:space="preserve">1.7.3 Support personnel</w:t>
      </w:r>
    </w:p>
    <w:p>
      <w:pPr>
        <w:spacing w:after="120"/>
      </w:pPr>
      <w:r>
        <w:t xml:space="preserve">Observers and safety marshals are briefed before each operation on their duties, communications and emergency actions (see Annex: pre-flight briefing).</w:t>
      </w:r>
    </w:p>
    <w:p>
      <w:pPr>
        <w:pStyle w:val="Heading2"/>
        <w:spacing w:after="110" w:before="220"/>
      </w:pPr>
      <w:r>
        <w:t xml:space="preserve">1.8 Crew health</w:t>
      </w:r>
    </w:p>
    <w:p>
      <w:pPr>
        <w:spacing w:after="120"/>
      </w:pPr>
      <w:r>
        <w:t xml:space="preserve">All crew must be fit to operate: adequately rested, unimpaired by alcohol, drugs or medication, and free of illness or stress that could affect performance. Any crew member who is unfit must stand down; the 'IM SAFE' self-check is applied before each operating day.</w:t>
      </w:r>
    </w:p>
    <w:p>
      <w:pPr>
        <w:pStyle w:val="Heading2"/>
        <w:spacing w:after="110" w:before="220"/>
      </w:pPr>
      <w:r>
        <w:t xml:space="preserve">1.9 Security and privacy</w:t>
      </w:r>
    </w:p>
    <w:p>
      <w:pPr>
        <w:pStyle w:val="Heading3"/>
        <w:spacing w:after="90" w:before="180"/>
      </w:pPr>
      <w:r>
        <w:t xml:space="preserve">1.9.1 Security</w:t>
      </w:r>
    </w:p>
    <w:p>
      <w:pPr>
        <w:pStyle w:val="ListParagraph"/>
        <w:numPr>
          <w:ilvl w:val="0"/>
          <w:numId w:val="1"/>
        </w:numPr>
        <w:spacing w:after="60"/>
      </w:pPr>
      <w:r>
        <w:t xml:space="preserve">Physical: aircraft, batteries and command units are stored securely and transported in protective cases; the take-off/landing area is cordoned per Section 2.10.</w:t>
      </w:r>
    </w:p>
    <w:p>
      <w:pPr>
        <w:pStyle w:val="ListParagraph"/>
        <w:numPr>
          <w:ilvl w:val="0"/>
          <w:numId w:val="1"/>
        </w:numPr>
        <w:spacing w:after="60"/>
      </w:pPr>
      <w:r>
        <w:t xml:space="preserve">Cyber: command unit and aircraft firmware are kept up to date; command links use the manufacturer's pairing/encryption; project data is stored on access-controlled devices.</w:t>
      </w:r>
    </w:p>
    <w:p>
      <w:pPr>
        <w:pStyle w:val="Heading3"/>
        <w:spacing w:after="90" w:before="180"/>
      </w:pPr>
      <w:r>
        <w:t xml:space="preserve">1.9.2 Privacy</w:t>
      </w:r>
    </w:p>
    <w:p>
      <w:pPr>
        <w:spacing w:after="120"/>
      </w:pPr>
      <w:r>
        <w:t xml:space="preserve">Drone operations that capture images, video or sensor data which may include identifiable people process personal data and fall under UK GDPR; the ICO publishes specific guidance for UAS/drones.</w:t>
      </w:r>
    </w:p>
    <w:p>
      <w:pPr>
        <w:spacing w:after="120"/>
      </w:pPr>
      <w:r>
        <w:t xml:space="preserve">The data &amp; privacy procedure in this pack applies to all image/video/sensor capture, including retention limits and a privacy notice for uninvolved persons.</w:t>
      </w:r>
    </w:p>
    <w:p>
      <w:pPr>
        <w:pStyle w:val="Heading1"/>
        <w:spacing w:after="140" w:before="280"/>
      </w:pPr>
      <w:r>
        <w:t xml:space="preserve">Volume 2 — Section 2: Flight operations</w:t>
      </w:r>
    </w:p>
    <w:p>
      <w:pPr>
        <w:pStyle w:val="Heading2"/>
        <w:spacing w:after="110" w:before="220"/>
      </w:pPr>
      <w:r>
        <w:t xml:space="preserve">2.1 UAS operation locations</w:t>
      </w:r>
    </w:p>
    <w:p>
      <w:pPr>
        <w:spacing w:after="120"/>
      </w:pPr>
      <w:r>
        <w:t xml:space="preserve">Operations take place in built-up areas (residential, commercial, industrial and recreational) as permitted by the PDRA01 conditions, subject to the site assessment and separation requirements in this manual.</w:t>
      </w:r>
    </w:p>
    <w:p>
      <w:pPr>
        <w:pStyle w:val="Heading2"/>
        <w:spacing w:after="110" w:before="220"/>
      </w:pPr>
      <w:r>
        <w:t xml:space="preserve">2.2 Type of operation</w:t>
      </w:r>
    </w:p>
    <w:p>
      <w:pPr>
        <w:pStyle w:val="Heading3"/>
        <w:spacing w:after="90" w:before="180"/>
      </w:pPr>
      <w:r>
        <w:t xml:space="preserve">2.2.1 VLOS</w:t>
      </w:r>
    </w:p>
    <w:p>
      <w:pPr>
        <w:spacing w:after="120"/>
      </w:pPr>
      <w:r>
        <w:t xml:space="preserve">Flights must be conducted within visual line of sight (VLOS) and must not exceed 500 m from the remote pilot. A visual observer may be used only if co-located with the remote pilot.</w:t>
      </w:r>
    </w:p>
    <w:p>
      <w:pPr>
        <w:spacing w:after="120"/>
      </w:pPr>
      <w:r>
        <w:t xml:space="preserve">Planned maximum operating radius: 120 m from the remote pilot.</w:t>
      </w:r>
    </w:p>
    <w:p>
      <w:pPr>
        <w:pStyle w:val="Heading3"/>
        <w:spacing w:after="90" w:before="180"/>
      </w:pPr>
      <w:r>
        <w:t xml:space="preserve">2.2.2 PDRA01 limitations</w:t>
      </w:r>
    </w:p>
    <w:p>
      <w:pPr>
        <w:pStyle w:val="ListParagraph"/>
        <w:numPr>
          <w:ilvl w:val="0"/>
          <w:numId w:val="1"/>
        </w:numPr>
        <w:spacing w:after="60"/>
      </w:pPr>
      <w:r>
        <w:t xml:space="preserve">The unmanned aircraft must be maintained within 120 m (400 ft) of the closest point of the surface of the earth.</w:t>
      </w:r>
    </w:p>
    <w:p>
      <w:pPr>
        <w:pStyle w:val="ListParagraph"/>
        <w:numPr>
          <w:ilvl w:val="0"/>
          <w:numId w:val="1"/>
        </w:numPr>
        <w:spacing w:after="60"/>
      </w:pPr>
      <w:r>
        <w:t xml:space="preserve">Obstacles taller than 105 m may be overflown to a maximum of 15 m above the obstacle, provided the aircraft stays within 50 m horizontally of it.</w:t>
      </w:r>
    </w:p>
    <w:p>
      <w:pPr>
        <w:pStyle w:val="ListParagraph"/>
        <w:numPr>
          <w:ilvl w:val="0"/>
          <w:numId w:val="1"/>
        </w:numPr>
        <w:spacing w:after="60"/>
      </w:pPr>
      <w:r>
        <w:t xml:space="preserve">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w:t>
      </w:r>
    </w:p>
    <w:p>
      <w:pPr>
        <w:pStyle w:val="ListParagraph"/>
        <w:numPr>
          <w:ilvl w:val="0"/>
          <w:numId w:val="1"/>
        </w:numPr>
        <w:spacing w:after="60"/>
      </w:pPr>
      <w:r>
        <w:t xml:space="preserve">Articles must not be dropped from the unmanned aircraft.</w:t>
      </w:r>
    </w:p>
    <w:p>
      <w:pPr>
        <w:pStyle w:val="ListParagraph"/>
        <w:numPr>
          <w:ilvl w:val="0"/>
          <w:numId w:val="1"/>
        </w:numPr>
        <w:spacing w:after="60"/>
      </w:pPr>
      <w:r>
        <w:t xml:space="preserve">Dangerous goods must not be carried.</w:t>
      </w:r>
    </w:p>
    <w:p>
      <w:pPr>
        <w:pStyle w:val="ListParagraph"/>
        <w:numPr>
          <w:ilvl w:val="0"/>
          <w:numId w:val="1"/>
        </w:numPr>
        <w:spacing w:after="60"/>
      </w:pPr>
      <w:r>
        <w:t xml:space="preserve">PDRA01 covers the operation of one unmanned aircraft at a time by the remote pilot (no swarm operations).</w:t>
      </w:r>
    </w:p>
    <w:p>
      <w:pPr>
        <w:spacing w:after="120"/>
      </w:pPr>
      <w:r>
        <w:t xml:space="preserve">Planned maximum altitude for our operations: 120 ft.</w:t>
      </w:r>
    </w:p>
    <w:p>
      <w:pPr>
        <w:pStyle w:val="Heading3"/>
        <w:spacing w:after="90" w:before="180"/>
      </w:pPr>
      <w:r>
        <w:t xml:space="preserve">2.2.3 Night operations</w:t>
      </w:r>
    </w:p>
    <w:p>
      <w:pPr>
        <w:spacing w:after="120"/>
      </w:pPr>
      <w:r>
        <w:t xml:space="preserve">Night operations are not currently conducted. If introduced, this section must be completed with lighting and night-specific procedures before any night flight.</w:t>
      </w:r>
    </w:p>
    <w:p>
      <w:pPr>
        <w:pStyle w:val="Heading2"/>
        <w:spacing w:after="110" w:before="220"/>
      </w:pPr>
      <w:r>
        <w:t xml:space="preserve">2.3 Multiple simultaneous operation of UAS</w:t>
      </w:r>
    </w:p>
    <w:p>
      <w:pPr>
        <w:spacing w:after="120"/>
      </w:pPr>
      <w:r>
        <w:t xml:space="preserve">PDRA01 covers the operation of one unmanned aircraft at a time by the remote pilot (no swarm operations).</w:t>
      </w:r>
    </w:p>
    <w:p>
      <w:pPr>
        <w:pStyle w:val="Heading2"/>
        <w:spacing w:after="110" w:before="220"/>
      </w:pPr>
      <w:r>
        <w:t xml:space="preserve">2.4 Radio licencing requirements</w:t>
      </w:r>
    </w:p>
    <w:p>
      <w:pPr>
        <w:pStyle w:val="Heading3"/>
        <w:spacing w:after="90" w:before="180"/>
      </w:pPr>
      <w:r>
        <w:t xml:space="preserve">2.4.1 Command and control</w:t>
      </w:r>
    </w:p>
    <w:p>
      <w:pPr>
        <w:spacing w:after="120"/>
      </w:pPr>
      <w:r>
        <w:t xml:space="preserve">The C2 link operates on licence-exempt spectrum within Ofcom limits (or under an appropriate licence where required). The command-and-control (C2) link must be equipped with a control-system-failure mechanism (e.g. a defined lost-link behaviour).</w:t>
      </w:r>
    </w:p>
    <w:p>
      <w:pPr>
        <w:pStyle w:val="Heading3"/>
        <w:spacing w:after="90" w:before="180"/>
      </w:pPr>
      <w:r>
        <w:t xml:space="preserve">2.4.2 Electronic conspicuity devices</w:t>
      </w:r>
    </w:p>
    <w:p>
      <w:pPr>
        <w:spacing w:after="120"/>
      </w:pPr>
      <w:r>
        <w:t xml:space="preserve">No electronic conspicuity devices are currently fitted.</w:t>
      </w:r>
    </w:p>
    <w:p>
      <w:pPr>
        <w:pStyle w:val="Heading3"/>
        <w:spacing w:after="90" w:before="180"/>
      </w:pPr>
      <w:r>
        <w:t xml:space="preserve">2.4.3 Communication devices</w:t>
      </w:r>
    </w:p>
    <w:p>
      <w:pPr>
        <w:spacing w:after="120"/>
      </w:pPr>
      <w:r>
        <w:t xml:space="preserve">Crew communications per Section 2.7; radios/phones are charged and checked pre-flight.</w:t>
      </w:r>
    </w:p>
    <w:p>
      <w:pPr>
        <w:pStyle w:val="Heading2"/>
        <w:spacing w:after="110" w:before="220"/>
      </w:pPr>
      <w:r>
        <w:t xml:space="preserve">2.5 Methods to determine the feasibility of the operation</w:t>
      </w:r>
    </w:p>
    <w:p>
      <w:pPr>
        <w:spacing w:after="120"/>
      </w:pPr>
      <w:r>
        <w:t xml:space="preserve">Each task is assessed before deployment using the feasibility study (Annex 1 form in this pack): airspace and FRZ check, site suitability, separation achievability, weather outlook, crew and equipment availability, and client/landowner permissions. A task that cannot meet the PDRA01 conditions is declined or referred for UK SORA.</w:t>
      </w:r>
    </w:p>
    <w:p>
      <w:pPr>
        <w:pStyle w:val="Heading2"/>
        <w:spacing w:after="110" w:before="220"/>
      </w:pPr>
      <w:r>
        <w:t xml:space="preserve">2.6 Pre-notification to third parties</w:t>
      </w:r>
    </w:p>
    <w:p>
      <w:pPr>
        <w:spacing w:after="120"/>
      </w:pPr>
      <w:r>
        <w:t xml:space="preserve">Where the operating site lies within an aerodrome FRZ or near restricted/temporarily restricted airspace, the relevant authority (aerodrome ATC/operator, airspace manager, or the Military Airspace Management Cell as applicable) is contacted and permission or notification completed before the operation. As a safety action, air users may be informed of the planned operation (e.g. NOTAM request for sustained operations).</w:t>
      </w:r>
    </w:p>
    <w:p>
      <w:pPr>
        <w:spacing w:after="120"/>
      </w:pPr>
      <w:r>
        <w:t xml:space="preserve">Flight Restriction Zones (around aerodromes) and restricted, prohibited and danger areas must be avoided unless the relevant permission has been obtained.</w:t>
      </w:r>
    </w:p>
    <w:p>
      <w:pPr>
        <w:pStyle w:val="Heading3"/>
        <w:spacing w:after="90" w:before="180"/>
      </w:pPr>
      <w:r>
        <w:t xml:space="preserve">2.6.2 Obtaining contact details for landowners</w:t>
      </w:r>
    </w:p>
    <w:p>
      <w:pPr>
        <w:spacing w:after="120"/>
      </w:pPr>
      <w:r>
        <w:t xml:space="preserve">Landowner permission for the take-off and landing area is obtained and recorded on the onsite survey form.</w:t>
      </w:r>
    </w:p>
    <w:p>
      <w:pPr>
        <w:pStyle w:val="Heading2"/>
        <w:spacing w:after="110" w:before="220"/>
      </w:pPr>
      <w:r>
        <w:t xml:space="preserve">2.7 Communications</w:t>
      </w:r>
    </w:p>
    <w:p>
      <w:pPr>
        <w:spacing w:after="120"/>
      </w:pPr>
      <w:r>
        <w:t xml:space="preserve">The remote pilot and support personnel use agreed, closed-loop phrases (e.g. 'launching', 'landing', 'abort'). English is the standard operating language. Communication with any ANSP/airspace manager uses the contact details recorded in the feasibility study.</w:t>
      </w:r>
    </w:p>
    <w:p>
      <w:pPr>
        <w:pStyle w:val="Heading2"/>
        <w:spacing w:after="110" w:before="220"/>
      </w:pPr>
      <w:r>
        <w:t xml:space="preserve">2.8 Assessment of environmental conditions</w:t>
      </w:r>
    </w:p>
    <w:p>
      <w:pPr>
        <w:spacing w:after="120"/>
      </w:pPr>
      <w:r>
        <w:t xml:space="preserve">Weather is checked before deployment (aviation-grade forecast) and re-checked on site, including wind strength/direction at operating height, precipitation, visibility and temperature. Space-weather (GNSS) alerts are checked where GNSS-dependent functions are used.</w:t>
      </w:r>
    </w:p>
    <w:p>
      <w:pPr>
        <w:pStyle w:val="Heading3"/>
        <w:spacing w:after="90" w:before="180"/>
      </w:pPr>
      <w:r>
        <w:t xml:space="preserve">2.8.3 Environmental conditions limitations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Maximum wind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24 mph (typical prosumer limit — confirm against the aircraft's specification)</w:t>
            </w:r>
          </w:p>
        </w:tc>
      </w:tr>
      <w:tr>
        <w:tc>
          <w:tcPr>
            <w:tcBorders>
              <w:top w:val="single" w:color="9CA3AF" w:sz="2"/>
              <w:left w:val="single" w:color="9CA3AF" w:sz="2"/>
              <w:bottom w:val="single" w:color="9CA3AF" w:sz="2"/>
              <w:right w:val="single" w:color="9CA3AF" w:sz="2"/>
            </w:tcBorders>
          </w:tcPr>
          <w:p>
            <w:pPr>
              <w:spacing w:after="40"/>
            </w:pPr>
            <w:r>
              <w:rPr>
                <w:b/>
                <w:bCs/>
              </w:rPr>
              <w:t xml:space="preserve">Precipitation</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No flight in rain, snow or icing conditions unless the aircraft is rated for it</w:t>
            </w:r>
          </w:p>
        </w:tc>
      </w:tr>
      <w:tr>
        <w:tc>
          <w:tcPr>
            <w:tcBorders>
              <w:top w:val="single" w:color="9CA3AF" w:sz="2"/>
              <w:left w:val="single" w:color="9CA3AF" w:sz="2"/>
              <w:bottom w:val="single" w:color="9CA3AF" w:sz="2"/>
              <w:right w:val="single" w:color="9CA3AF" w:sz="2"/>
            </w:tcBorders>
          </w:tcPr>
          <w:p>
            <w:pPr>
              <w:spacing w:after="40"/>
            </w:pPr>
            <w:r>
              <w:rPr>
                <w:b/>
                <w:bCs/>
              </w:rPr>
              <w:t xml:space="preserve">Visibility</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Sufficient to maintain VLOS at the planned radius at all times</w:t>
            </w:r>
          </w:p>
        </w:tc>
      </w:tr>
      <w:tr>
        <w:tc>
          <w:tcPr>
            <w:tcBorders>
              <w:top w:val="single" w:color="9CA3AF" w:sz="2"/>
              <w:left w:val="single" w:color="9CA3AF" w:sz="2"/>
              <w:bottom w:val="single" w:color="9CA3AF" w:sz="2"/>
              <w:right w:val="single" w:color="9CA3AF" w:sz="2"/>
            </w:tcBorders>
          </w:tcPr>
          <w:p>
            <w:pPr>
              <w:spacing w:after="40"/>
            </w:pPr>
            <w:r>
              <w:rPr>
                <w:b/>
                <w:bCs/>
              </w:rPr>
              <w:t xml:space="preserve">Temperature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Within the battery / airframe operating range per the manufacturer's specification</w:t>
            </w:r>
          </w:p>
        </w:tc>
      </w:tr>
      <w:tr>
        <w:tc>
          <w:tcPr>
            <w:tcBorders>
              <w:top w:val="single" w:color="9CA3AF" w:sz="2"/>
              <w:left w:val="single" w:color="9CA3AF" w:sz="2"/>
              <w:bottom w:val="single" w:color="9CA3AF" w:sz="2"/>
              <w:right w:val="single" w:color="9CA3AF" w:sz="2"/>
            </w:tcBorders>
          </w:tcPr>
          <w:p>
            <w:pPr>
              <w:spacing w:after="40"/>
            </w:pPr>
            <w:r>
              <w:rPr>
                <w:b/>
                <w:bCs/>
              </w:rPr>
              <w:t xml:space="preserve">Endurance planning</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35 min typical endurance; land with reserve per Section 2.13</w:t>
            </w:r>
          </w:p>
        </w:tc>
      </w:tr>
    </w:tbl>
    <w:p>
      <w:pPr>
        <w:pStyle w:val="Heading2"/>
        <w:spacing w:after="110" w:before="220"/>
      </w:pPr>
      <w:r>
        <w:t xml:space="preserve">2.9 Onsite procedures</w:t>
      </w:r>
    </w:p>
    <w:p>
      <w:pPr>
        <w:spacing w:after="120"/>
      </w:pPr>
      <w:r>
        <w:t xml:space="preserve">On arrival the remote pilot completes the onsite survey (Annex 2 form in this pack): confirm the site matches the feasibility study, identify hazards, confirm separation distances and emergency landing areas, and record the date/time of the survey. The outcome is an explicit GO / NO GO decision.</w:t>
      </w:r>
    </w:p>
    <w:p>
      <w:pPr>
        <w:pStyle w:val="Heading3"/>
        <w:spacing w:after="90" w:before="180"/>
      </w:pPr>
      <w:r>
        <w:t xml:space="preserve">2.9.3 Pre-flight briefing</w:t>
      </w:r>
    </w:p>
    <w:p>
      <w:pPr>
        <w:spacing w:after="120"/>
      </w:pPr>
      <w:r>
        <w:t xml:space="preserve">All crew are briefed using the pre-flight briefing form (Annex 3 content): roles, flight plan, cordon, emergency actions, and communications.</w:t>
      </w:r>
    </w:p>
    <w:p>
      <w:pPr>
        <w:pStyle w:val="Heading2"/>
        <w:spacing w:after="110" w:before="220"/>
      </w:pPr>
      <w:r>
        <w:t xml:space="preserve">2.10 Cordon procedure</w:t>
      </w:r>
    </w:p>
    <w:p>
      <w:pPr>
        <w:spacing w:after="120"/>
      </w:pPr>
      <w:r>
        <w:t xml:space="preserve">Cordons protect uninvolved people. The take-off/landing area and the area of operation are established per the separation rule: A minimum horizontal separation of 50 m must be maintained from uninvolved persons, reducible to 30 m during take-off and landing. Assemblies of people must never be overflown, and a minimum horizontal separation of 50 m from assemblies must be kept (also observing the 1:1 rule: horizontal separation at least equal to the height of the aircraft). Public access points are identified in the onsite survey and monitored throughout; if an uninvolved person enters the cordon, the ground incursion procedure (2.16.9) applies.</w:t>
      </w:r>
    </w:p>
    <w:p>
      <w:pPr>
        <w:pStyle w:val="Heading2"/>
        <w:spacing w:after="110" w:before="220"/>
      </w:pPr>
      <w:r>
        <w:t xml:space="preserve">2.11 Pre-flight procedures: Assembly and function checks</w:t>
      </w:r>
    </w:p>
    <w:p>
      <w:pPr>
        <w:spacing w:after="120"/>
      </w:pPr>
      <w:r>
        <w:t xml:space="preserve">DJI Mavic 3 Enterprise is assembled and inspected per the pre-flight checklist in this pack: structure, propulsion, control surfaces where fitted, battery security and charge, payload security, command unit charge, C2 link check, GNSS/compass status where applicable, and centre-of-gravity within limits after any payload change.</w:t>
      </w:r>
    </w:p>
    <w:p>
      <w:pPr>
        <w:pStyle w:val="Heading2"/>
        <w:spacing w:after="110" w:before="220"/>
      </w:pPr>
      <w:r>
        <w:t xml:space="preserve">2.12 In-flight procedures</w:t>
      </w:r>
    </w:p>
    <w:p>
      <w:pPr>
        <w:spacing w:after="120"/>
      </w:pPr>
      <w:r>
        <w:t xml:space="preserve">Take-off, in-flight, landing and shut-down follow the checklists in this pack. If a hazard or abnormality is identified at any stage, the relevant emergency checklist (2.16) is actioned; when in doubt, land.</w:t>
      </w:r>
    </w:p>
    <w:p>
      <w:pPr>
        <w:pStyle w:val="Heading2"/>
        <w:spacing w:after="110" w:before="220"/>
      </w:pPr>
      <w:r>
        <w:t xml:space="preserve">2.13 Safety feature operating procedures</w:t>
      </w:r>
    </w:p>
    <w:p>
      <w:pPr>
        <w:pStyle w:val="Heading3"/>
        <w:spacing w:after="90" w:before="180"/>
      </w:pPr>
      <w:r>
        <w:t xml:space="preserve">2.13.1–2.13.3 Return to home (manual activation, automatic activation, manual cancellation)</w:t>
      </w:r>
    </w:p>
    <w:p>
      <w:pPr>
        <w:spacing w:after="120"/>
      </w:pPr>
      <w:r>
        <w:t xml:space="preserve">RTH may be activated manually by the remote pilot or automatically (lost link / low battery). Before flight the RTH altitude is set above local obstacles and the home point confirmed. RTH may be cancelled manually to resume control where safe. Behaviour is verified for DJI Mavic 3 Enterprise before operational use.</w:t>
      </w:r>
    </w:p>
    <w:p>
      <w:pPr>
        <w:pStyle w:val="Heading3"/>
        <w:spacing w:after="90" w:before="180"/>
      </w:pPr>
      <w:r>
        <w:t xml:space="preserve">2.13.4 Low battery auto-land / warnings</w:t>
      </w:r>
    </w:p>
    <w:p>
      <w:pPr>
        <w:spacing w:after="120"/>
      </w:pPr>
      <w:r>
        <w:t xml:space="preserve">Battery warnings prompt an immediate return and landing with reserve. The minimum landing reserve and any auto-land thresholds are set before flight and briefed.</w:t>
      </w:r>
    </w:p>
    <w:p>
      <w:pPr>
        <w:pStyle w:val="Heading3"/>
        <w:spacing w:after="90" w:before="180"/>
      </w:pPr>
      <w:r>
        <w:t xml:space="preserve">2.13.7 Flight volume limitation systems</w:t>
      </w:r>
    </w:p>
    <w:p>
      <w:pPr>
        <w:spacing w:after="120"/>
      </w:pPr>
      <w:r>
        <w:t xml:space="preserve">The flight volume (distance and altitude limits) is set on the aircraft before flight to match the operating site cordon.</w:t>
      </w:r>
    </w:p>
    <w:p>
      <w:pPr>
        <w:pStyle w:val="Heading3"/>
        <w:spacing w:after="90" w:before="180"/>
      </w:pPr>
      <w:r>
        <w:t xml:space="preserve">Lost-link failsafe</w:t>
      </w:r>
    </w:p>
    <w:p>
      <w:pPr>
        <w:spacing w:after="120"/>
      </w:pPr>
      <w:r>
        <w:t xml:space="preserve">On C2 link loss the aircraft is configured to: return to home and land. This behaviour is tested and recorded before operational use.</w:t>
      </w:r>
    </w:p>
    <w:p>
      <w:pPr>
        <w:pStyle w:val="Heading2"/>
        <w:spacing w:after="110" w:before="220"/>
      </w:pPr>
      <w:r>
        <w:t xml:space="preserve">2.14 Post-flight and between flight checks</w:t>
      </w:r>
    </w:p>
    <w:p>
      <w:pPr>
        <w:spacing w:after="120"/>
      </w:pPr>
      <w:r>
        <w:t xml:space="preserve">After each flight: inspect airframe/propulsion/payload for damage, check battery condition and temperature, record flight time and any defects in the technical logbook, and debrief the crew (Annex 4 content). Defects are assessed before any further flight.</w:t>
      </w:r>
    </w:p>
    <w:p>
      <w:pPr>
        <w:pStyle w:val="Heading2"/>
        <w:spacing w:after="110" w:before="220"/>
      </w:pPr>
      <w:r>
        <w:t xml:space="preserve">2.15 Flight Safety Program</w:t>
      </w:r>
    </w:p>
    <w:p>
      <w:pPr>
        <w:spacing w:after="120"/>
      </w:pPr>
      <w:r>
        <w:t xml:space="preserve">We operate threat-and-error management: threats for each operation are identified in the feasibility study and briefing, errors are trapped by checklist discipline and closed-loop communication, and lessons are recorded in the debrief and fed back into this manual.</w:t>
      </w:r>
    </w:p>
    <w:p>
      <w:pPr>
        <w:pStyle w:val="Heading3"/>
        <w:spacing w:after="90" w:before="180"/>
      </w:pPr>
      <w:r>
        <w:t xml:space="preserve">2.15.2 Emergency procedure training</w:t>
      </w:r>
    </w:p>
    <w:p>
      <w:pPr>
        <w:spacing w:after="120"/>
      </w:pPr>
      <w:r>
        <w:t xml:space="preserve">Emergency procedures (2.16) are practised periodically and after any material change; practice is recorded in the remote pilot logbook.</w:t>
      </w:r>
    </w:p>
    <w:p>
      <w:pPr>
        <w:pStyle w:val="Heading2"/>
        <w:spacing w:after="110" w:before="220"/>
      </w:pPr>
      <w:r>
        <w:t xml:space="preserve">2.16 Specific emergency procedures</w:t>
      </w:r>
    </w:p>
    <w:p>
      <w:pPr>
        <w:spacing w:after="120"/>
      </w:pPr>
      <w:r>
        <w:t xml:space="preserve">The following procedures are actioned from memory items then checklist. Procedures not applicable to the aircraft type have been omitted.</w:t>
      </w:r>
    </w:p>
    <w:p>
      <w:pPr>
        <w:pStyle w:val="Heading3"/>
        <w:spacing w:after="90" w:before="180"/>
      </w:pPr>
      <w:r>
        <w:t xml:space="preserve">2.16.1 Abnormal environmental conditions — Visibility</w:t>
      </w:r>
    </w:p>
    <w:p>
      <w:pPr>
        <w:spacing w:after="120"/>
      </w:pPr>
      <w:r>
        <w:t xml:space="preserve">If visibility deteriorates below that needed for VLOS: announce, cease manoeuvres, return and land as soon as practicable.</w:t>
      </w:r>
    </w:p>
    <w:p>
      <w:pPr>
        <w:pStyle w:val="Heading3"/>
        <w:spacing w:after="90" w:before="180"/>
      </w:pPr>
      <w:r>
        <w:t xml:space="preserve">2.16.2 Abnormal environmental conditions — Wind</w:t>
      </w:r>
    </w:p>
    <w:p>
      <w:pPr>
        <w:spacing w:after="120"/>
      </w:pPr>
      <w:r>
        <w:t xml:space="preserve">If wind exceeds limits or control margins reduce: announce, reduce exposure (lower/closer), land at the primary or emergency landing area.</w:t>
      </w:r>
    </w:p>
    <w:p>
      <w:pPr>
        <w:pStyle w:val="Heading3"/>
        <w:spacing w:after="90" w:before="180"/>
      </w:pPr>
      <w:r>
        <w:t xml:space="preserve">2.16.3 Air excursion</w:t>
      </w:r>
    </w:p>
    <w:p>
      <w:pPr>
        <w:spacing w:after="120"/>
      </w:pPr>
      <w:r>
        <w:t xml:space="preserve">If the aircraft leaves the intended flight volume: regain manual control, re-enter the volume or land; report per 2.17 if separation from people or airspace limits was infringed.</w:t>
      </w:r>
    </w:p>
    <w:p>
      <w:pPr>
        <w:pStyle w:val="Heading3"/>
        <w:spacing w:after="90" w:before="180"/>
      </w:pPr>
      <w:r>
        <w:t xml:space="preserve">2.16.4 Air incursion</w:t>
      </w:r>
    </w:p>
    <w:p>
      <w:pPr>
        <w:spacing w:after="120"/>
      </w:pPr>
      <w:r>
        <w:t xml:space="preserve">If another aircraft approaches: announce, descend and/or move clear of its path, land if required, and report an airprox per 2.18.</w:t>
      </w:r>
    </w:p>
    <w:p>
      <w:pPr>
        <w:pStyle w:val="Heading3"/>
        <w:spacing w:after="90" w:before="180"/>
      </w:pPr>
      <w:r>
        <w:t xml:space="preserve">2.16.5 Control signal loss</w:t>
      </w:r>
    </w:p>
    <w:p>
      <w:pPr>
        <w:spacing w:after="120"/>
      </w:pPr>
      <w:r>
        <w:t xml:space="preserve">Anticipate the configured lost-link action; attempt link recovery (antenna orientation, reduce range); prepare the landing/termination area; if link is not recovered, monitor the failsafe to completion.</w:t>
      </w:r>
    </w:p>
    <w:p>
      <w:pPr>
        <w:pStyle w:val="Heading3"/>
        <w:spacing w:after="90" w:before="180"/>
      </w:pPr>
      <w:r>
        <w:t xml:space="preserve">2.16.6 Fire</w:t>
      </w:r>
    </w:p>
    <w:p>
      <w:pPr>
        <w:spacing w:after="120"/>
      </w:pPr>
      <w:r>
        <w:t xml:space="preserve">Land or terminate immediately away from people; do not approach a burning lithium battery; use dry powder/sand, call 999 if the fire cannot be contained.</w:t>
      </w:r>
    </w:p>
    <w:p>
      <w:pPr>
        <w:pStyle w:val="Heading3"/>
        <w:spacing w:after="90" w:before="180"/>
      </w:pPr>
      <w:r>
        <w:t xml:space="preserve">2.16.7 Flyaway</w:t>
      </w:r>
    </w:p>
    <w:p>
      <w:pPr>
        <w:spacing w:after="120"/>
      </w:pPr>
      <w:r>
        <w:t xml:space="preserve">If the aircraft no longer responds and failsafes have not engaged: note last position/heading/altitude and battery endurance, warn people nearby, contact the local ATC/airspace authority if it may enter controlled airspace or an FRZ, and report per 2.17.</w:t>
      </w:r>
    </w:p>
    <w:p>
      <w:pPr>
        <w:pStyle w:val="Heading3"/>
        <w:spacing w:after="90" w:before="180"/>
      </w:pPr>
      <w:r>
        <w:t xml:space="preserve">2.16.8 GNSS signal loss</w:t>
      </w:r>
    </w:p>
    <w:p>
      <w:pPr>
        <w:spacing w:after="120"/>
      </w:pPr>
      <w:r>
        <w:t xml:space="preserve">Switch to the appropriate non-GNSS mode, stabilise, increase separation from obstacles/people and land; do not rely on position-hold or RTH without GNSS.</w:t>
      </w:r>
    </w:p>
    <w:p>
      <w:pPr>
        <w:pStyle w:val="Heading3"/>
        <w:spacing w:after="90" w:before="180"/>
      </w:pPr>
      <w:r>
        <w:t xml:space="preserve">2.16.9 Ground incursion</w:t>
      </w:r>
    </w:p>
    <w:p>
      <w:pPr>
        <w:spacing w:after="120"/>
      </w:pPr>
      <w:r>
        <w:t xml:space="preserve">If an uninvolved person/vehicle/animal enters the cordon: announce, move the aircraft away and hold or land clear; do not fly over them; resume only when the cordon is restored.</w:t>
      </w:r>
    </w:p>
    <w:p>
      <w:pPr>
        <w:pStyle w:val="Heading3"/>
        <w:spacing w:after="90" w:before="180"/>
      </w:pPr>
      <w:r>
        <w:t xml:space="preserve">2.16.11 Landing gear failure — Multirotor</w:t>
      </w:r>
    </w:p>
    <w:p>
      <w:pPr>
        <w:spacing w:after="120"/>
      </w:pPr>
      <w:r>
        <w:t xml:space="preserve">Land on level clear ground, hand-catch only if trained and briefed as safe; inspect before further flight.</w:t>
      </w:r>
    </w:p>
    <w:p>
      <w:pPr>
        <w:pStyle w:val="Heading3"/>
        <w:spacing w:after="90" w:before="180"/>
      </w:pPr>
      <w:r>
        <w:t xml:space="preserve">2.16.12 Loss of control</w:t>
      </w:r>
    </w:p>
    <w:p>
      <w:pPr>
        <w:spacing w:after="120"/>
      </w:pPr>
      <w:r>
        <w:t xml:space="preserve">Announce; attempt recovery per the aircraft manual (mode change, manual takeover); if unrecoverable, steer away from people and terminate over the safest area.</w:t>
      </w:r>
    </w:p>
    <w:p>
      <w:pPr>
        <w:pStyle w:val="Heading3"/>
        <w:spacing w:after="90" w:before="180"/>
      </w:pPr>
      <w:r>
        <w:t xml:space="preserve">2.16.13 Power loss — Command unit</w:t>
      </w:r>
    </w:p>
    <w:p>
      <w:pPr>
        <w:spacing w:after="120"/>
      </w:pPr>
      <w:r>
        <w:t xml:space="preserve">Anticipate lost-link failsafe; attempt restart/replacement; monitor the aircraft's autonomous behaviour to landing.</w:t>
      </w:r>
    </w:p>
    <w:p>
      <w:pPr>
        <w:pStyle w:val="Heading3"/>
        <w:spacing w:after="90" w:before="180"/>
      </w:pPr>
      <w:r>
        <w:t xml:space="preserve">2.16.14 / 2.16.15 Power loss — UA (partial / full)</w:t>
      </w:r>
    </w:p>
    <w:p>
      <w:pPr>
        <w:spacing w:after="120"/>
      </w:pPr>
      <w:r>
        <w:t xml:space="preserve">Partial: land immediately with reserve. Full: warn people below; the aircraft will descend — keep the area clear and manage the aftermath per 2.17.</w:t>
      </w:r>
    </w:p>
    <w:p>
      <w:pPr>
        <w:pStyle w:val="Heading3"/>
        <w:spacing w:after="90" w:before="180"/>
      </w:pPr>
      <w:r>
        <w:t xml:space="preserve">2.16.17–2.16.19 Propulsion system loss — Multirotor (single / multiple / full)</w:t>
      </w:r>
    </w:p>
    <w:p>
      <w:pPr>
        <w:spacing w:after="120"/>
      </w:pPr>
      <w:r>
        <w:t xml:space="preserve">Single motor: land immediately. Multiple motors: expect degraded control; descend over the clearest area. Full loss: warn people below and keep the area clear.</w:t>
      </w:r>
    </w:p>
    <w:p>
      <w:pPr>
        <w:pStyle w:val="Heading3"/>
        <w:spacing w:after="90" w:before="180"/>
      </w:pPr>
      <w:r>
        <w:t xml:space="preserve">2.16.21 Pilot incapacitation</w:t>
      </w:r>
    </w:p>
    <w:p>
      <w:pPr>
        <w:spacing w:after="120"/>
      </w:pPr>
      <w:r>
        <w:t xml:space="preserve">Support crew: use the pre-briefed action (RTH activation or assisted landing), call 999, and secure the aircraft.</w:t>
      </w:r>
    </w:p>
    <w:p>
      <w:pPr>
        <w:pStyle w:val="Heading3"/>
        <w:spacing w:after="90" w:before="180"/>
      </w:pPr>
      <w:r>
        <w:t xml:space="preserve">2.16.22 Structural failure</w:t>
      </w:r>
    </w:p>
    <w:p>
      <w:pPr>
        <w:spacing w:after="120"/>
      </w:pPr>
      <w:r>
        <w:t xml:space="preserve">Treat as loss of control (2.16.12): steer away from people if any control remains; manage the aftermath per 2.17.</w:t>
      </w:r>
    </w:p>
    <w:p>
      <w:pPr>
        <w:pStyle w:val="Heading2"/>
        <w:spacing w:after="110" w:before="220"/>
      </w:pPr>
      <w:r>
        <w:t xml:space="preserve">2.17 Emergency Response Plan</w:t>
      </w:r>
    </w:p>
    <w:p>
      <w:pPr>
        <w:spacing w:after="120"/>
      </w:pPr>
      <w:r>
        <w:t xml:space="preserve">Serious incident/accident: make the area safe, administer first aid, call 999 where needed, notify the accountable manager, preserve evidence (aircraft, logs, media), and complete the occurrence form (Annex 5 content in this pack).</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Emergency services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999</w:t>
            </w:r>
          </w:p>
        </w:tc>
      </w:tr>
      <w:tr>
        <w:tc>
          <w:tcPr>
            <w:tcBorders>
              <w:top w:val="single" w:color="9CA3AF" w:sz="2"/>
              <w:left w:val="single" w:color="9CA3AF" w:sz="2"/>
              <w:bottom w:val="single" w:color="9CA3AF" w:sz="2"/>
              <w:right w:val="single" w:color="9CA3AF" w:sz="2"/>
            </w:tcBorders>
          </w:tcPr>
          <w:p>
            <w:pPr>
              <w:spacing w:after="40"/>
            </w:pPr>
            <w:r>
              <w:rPr>
                <w:b/>
                <w:bCs/>
              </w:rPr>
              <w:t xml:space="preserve">Accountable manager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J. Smith</w:t>
            </w:r>
          </w:p>
        </w:tc>
      </w:tr>
      <w:tr>
        <w:tc>
          <w:tcPr>
            <w:tcBorders>
              <w:top w:val="single" w:color="9CA3AF" w:sz="2"/>
              <w:left w:val="single" w:color="9CA3AF" w:sz="2"/>
              <w:bottom w:val="single" w:color="9CA3AF" w:sz="2"/>
              <w:right w:val="single" w:color="9CA3AF" w:sz="2"/>
            </w:tcBorders>
          </w:tcPr>
          <w:p>
            <w:pPr>
              <w:spacing w:after="40"/>
            </w:pPr>
            <w:r>
              <w:rPr>
                <w:b/>
                <w:bCs/>
              </w:rPr>
              <w:t xml:space="preserve">Emergency contact</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(add a phone number)</w:t>
            </w:r>
          </w:p>
        </w:tc>
      </w:tr>
    </w:tbl>
    <w:p>
      <w:pPr>
        <w:pStyle w:val="Heading3"/>
        <w:spacing w:after="90" w:before="180"/>
      </w:pPr>
      <w:r>
        <w:t xml:space="preserve">2.17.1 Reportable occurrences</w:t>
      </w:r>
    </w:p>
    <w:p>
      <w:pPr>
        <w:spacing w:after="120"/>
      </w:pPr>
      <w:r>
        <w:t xml:space="preserve">Occurrences must be reported in line with UK Reg (EU) 376/2014 and CAP 722; reportable accidents must be reported to the AAIB in line with UK Reg (EU) 996/2010.</w:t>
      </w:r>
    </w:p>
    <w:p>
      <w:pPr>
        <w:pStyle w:val="Heading3"/>
        <w:spacing w:after="90" w:before="180"/>
      </w:pPr>
      <w:r>
        <w:t xml:space="preserve">2.17.2 Mandatory Occurrence Reporting Scheme (MORS)</w:t>
      </w:r>
    </w:p>
    <w:p>
      <w:pPr>
        <w:spacing w:after="120"/>
      </w:pPr>
      <w:r>
        <w:t xml:space="preserve">Reportable occurrences are submitted through the UK occurrence reporting portal without undue delay; the report reference is retained with the flight records.</w:t>
      </w:r>
    </w:p>
    <w:p>
      <w:pPr>
        <w:pStyle w:val="Heading3"/>
        <w:spacing w:after="90" w:before="180"/>
      </w:pPr>
      <w:r>
        <w:t xml:space="preserve">2.17.3 Occurrence investigation / 2.17.4 Outcome actions</w:t>
      </w:r>
    </w:p>
    <w:p>
      <w:pPr>
        <w:spacing w:after="120"/>
      </w:pPr>
      <w:r>
        <w:t xml:space="preserve">The accountable manager reviews every occurrence, records causal factors, and implements corrective actions via the amendment record.</w:t>
      </w:r>
    </w:p>
    <w:p>
      <w:pPr>
        <w:pStyle w:val="Heading2"/>
        <w:spacing w:after="110" w:before="220"/>
      </w:pPr>
      <w:r>
        <w:t xml:space="preserve">2.18 Airprox reporting</w:t>
      </w:r>
    </w:p>
    <w:p>
      <w:pPr>
        <w:spacing w:after="120"/>
      </w:pPr>
      <w:r>
        <w:t xml:space="preserve">Any airprox (risk of collision with another aircraft) is reported via the UK Airprox Board process in addition to occurrence reporting, and the flight is discontinued.</w:t>
      </w:r>
    </w:p>
    <w:p>
      <w:pPr>
        <w:pStyle w:val="Heading2"/>
        <w:spacing w:after="110" w:before="220"/>
      </w:pPr>
      <w:r>
        <w:t xml:space="preserve">2.19 Maintenance</w:t>
      </w:r>
    </w:p>
    <w:p>
      <w:pPr>
        <w:spacing w:after="120"/>
      </w:pPr>
      <w:r>
        <w:t xml:space="preserve">Maintenance follows the manufacturer's schedule plus the operator's checks; all maintenance, repairs and modifications are recorded in the technical logbook (this pack). After repair or modification, a test flight away from uninvolved persons confirms serviceability before operational use.</w:t>
      </w:r>
    </w:p>
    <w:p>
      <w:pPr>
        <w:pStyle w:val="Heading3"/>
        <w:spacing w:after="90" w:before="180"/>
      </w:pPr>
      <w:r>
        <w:t xml:space="preserve">2.19.6 Storing lithium polymer batteries</w:t>
      </w:r>
    </w:p>
    <w:p>
      <w:pPr>
        <w:spacing w:after="120"/>
      </w:pPr>
      <w:r>
        <w:t xml:space="preserve">Batteries are stored at storage charge in fire-resistant containers, inspected before charge/use, and damaged or swollen batteries are quarantined and disposed of safely.</w:t>
      </w:r>
    </w:p>
    <w:p>
      <w:pPr>
        <w:pStyle w:val="Heading2"/>
        <w:spacing w:after="110" w:before="220"/>
      </w:pPr>
      <w:r>
        <w:t xml:space="preserve">2.20 Logs and records</w:t>
      </w:r>
    </w:p>
    <w:p>
      <w:pPr>
        <w:spacing w:after="120"/>
      </w:pPr>
      <w:r>
        <w:t xml:space="preserve">The operator maintains: flight logs, remote pilot logbook (with currency), technical logbook (maintenance/repair/modification), battery records, onsite surveys, briefings/debriefs, occurrence records, and this manual's amendment record. The Operations Manual is not uploaded during the PDRA01 application. The applicant confirms they hold one; the CAA can request it (with flight records and logs) during audit and oversight.</w:t>
      </w:r>
    </w:p>
    <w:p>
      <w:pPr>
        <w:pStyle w:val="Heading1"/>
        <w:spacing w:after="140" w:before="280"/>
      </w:pPr>
      <w:r>
        <w:t xml:space="preserve">Volume 2 — Section 3: UAS description</w:t>
      </w:r>
    </w:p>
    <w:p>
      <w:pPr>
        <w:pStyle w:val="Heading2"/>
        <w:spacing w:after="110" w:before="220"/>
      </w:pPr>
      <w:r>
        <w:t xml:space="preserve">3.1 Details of UAS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Make / model</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DJI Mavic 3 Enterprise</w:t>
            </w:r>
          </w:p>
        </w:tc>
      </w:tr>
      <w:tr>
        <w:tc>
          <w:tcPr>
            <w:tcBorders>
              <w:top w:val="single" w:color="9CA3AF" w:sz="2"/>
              <w:left w:val="single" w:color="9CA3AF" w:sz="2"/>
              <w:bottom w:val="single" w:color="9CA3AF" w:sz="2"/>
              <w:right w:val="single" w:color="9CA3AF" w:sz="2"/>
            </w:tcBorders>
          </w:tcPr>
          <w:p>
            <w:pPr>
              <w:spacing w:after="40"/>
            </w:pPr>
            <w:r>
              <w:rPr>
                <w:b/>
                <w:bCs/>
              </w:rPr>
              <w:t xml:space="preserve">Type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Multirotor</w:t>
            </w:r>
          </w:p>
        </w:tc>
      </w:tr>
      <w:tr>
        <w:tc>
          <w:tcPr>
            <w:tcBorders>
              <w:top w:val="single" w:color="9CA3AF" w:sz="2"/>
              <w:left w:val="single" w:color="9CA3AF" w:sz="2"/>
              <w:bottom w:val="single" w:color="9CA3AF" w:sz="2"/>
              <w:right w:val="single" w:color="9CA3AF" w:sz="2"/>
            </w:tcBorders>
          </w:tcPr>
          <w:p>
            <w:pPr>
              <w:spacing w:after="40"/>
            </w:pPr>
            <w:r>
              <w:rPr>
                <w:b/>
                <w:bCs/>
              </w:rPr>
              <w:t xml:space="preserve">Serial number</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1581F5FHD228Q00A17XX</w:t>
            </w:r>
          </w:p>
        </w:tc>
      </w:tr>
      <w:tr>
        <w:tc>
          <w:tcPr>
            <w:tcBorders>
              <w:top w:val="single" w:color="9CA3AF" w:sz="2"/>
              <w:left w:val="single" w:color="9CA3AF" w:sz="2"/>
              <w:bottom w:val="single" w:color="9CA3AF" w:sz="2"/>
              <w:right w:val="single" w:color="9CA3AF" w:sz="2"/>
            </w:tcBorders>
          </w:tcPr>
          <w:p>
            <w:pPr>
              <w:spacing w:after="40"/>
            </w:pPr>
            <w:r>
              <w:rPr>
                <w:b/>
                <w:bCs/>
              </w:rPr>
              <w:t xml:space="preserve">MTOM</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0.9 kg</w:t>
            </w:r>
          </w:p>
        </w:tc>
      </w:tr>
    </w:tbl>
    <w:p>
      <w:pPr>
        <w:pStyle w:val="Heading2"/>
        <w:spacing w:after="110" w:before="220"/>
      </w:pPr>
      <w:r>
        <w:t xml:space="preserve">3.2 UA performance characteristics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Maximum operating altitude (planned)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120 ft</w:t>
            </w:r>
          </w:p>
        </w:tc>
      </w:tr>
      <w:tr>
        <w:tc>
          <w:tcPr>
            <w:tcBorders>
              <w:top w:val="single" w:color="9CA3AF" w:sz="2"/>
              <w:left w:val="single" w:color="9CA3AF" w:sz="2"/>
              <w:bottom w:val="single" w:color="9CA3AF" w:sz="2"/>
              <w:right w:val="single" w:color="9CA3AF" w:sz="2"/>
            </w:tcBorders>
          </w:tcPr>
          <w:p>
            <w:pPr>
              <w:spacing w:after="40"/>
            </w:pPr>
            <w:r>
              <w:rPr>
                <w:b/>
                <w:bCs/>
              </w:rPr>
              <w:t xml:space="preserve">Typical endurance</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35 min</w:t>
            </w:r>
          </w:p>
        </w:tc>
      </w:tr>
      <w:tr>
        <w:tc>
          <w:tcPr>
            <w:tcBorders>
              <w:top w:val="single" w:color="9CA3AF" w:sz="2"/>
              <w:left w:val="single" w:color="9CA3AF" w:sz="2"/>
              <w:bottom w:val="single" w:color="9CA3AF" w:sz="2"/>
              <w:right w:val="single" w:color="9CA3AF" w:sz="2"/>
            </w:tcBorders>
          </w:tcPr>
          <w:p>
            <w:pPr>
              <w:spacing w:after="40"/>
            </w:pPr>
            <w:r>
              <w:rPr>
                <w:b/>
                <w:bCs/>
              </w:rPr>
              <w:t xml:space="preserve">Cruise/max speed</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Per the manufacturer's specification</w:t>
            </w:r>
          </w:p>
        </w:tc>
      </w:tr>
      <w:tr>
        <w:tc>
          <w:tcPr>
            <w:tcBorders>
              <w:top w:val="single" w:color="9CA3AF" w:sz="2"/>
              <w:left w:val="single" w:color="9CA3AF" w:sz="2"/>
              <w:bottom w:val="single" w:color="9CA3AF" w:sz="2"/>
              <w:right w:val="single" w:color="9CA3AF" w:sz="2"/>
            </w:tcBorders>
          </w:tcPr>
          <w:p>
            <w:pPr>
              <w:spacing w:after="40"/>
            </w:pPr>
            <w:r>
              <w:rPr>
                <w:b/>
                <w:bCs/>
              </w:rPr>
              <w:t xml:space="preserve">GNSS</w:t>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GPS + GLONASS</w:t>
            </w:r>
          </w:p>
        </w:tc>
      </w:tr>
    </w:tbl>
    <w:p>
      <w:pPr>
        <w:pStyle w:val="Heading2"/>
        <w:spacing w:after="110" w:before="220"/>
      </w:pPr>
      <w:r>
        <w:t xml:space="preserve">3.3 UAS environmental limitations</w:t>
      </w:r>
    </w:p>
    <w:p>
      <w:pPr>
        <w:spacing w:after="120"/>
      </w:pPr>
      <w:r>
        <w:t xml:space="preserve">See Section 2.8.3 table; confirm against the manufacturer's specification.</w:t>
      </w:r>
    </w:p>
    <w:p>
      <w:pPr>
        <w:pStyle w:val="Heading2"/>
        <w:spacing w:after="110" w:before="220"/>
      </w:pPr>
      <w:r>
        <w:t xml:space="preserve">3.4 Fuel / 3.5 Batteries</w:t>
      </w:r>
    </w:p>
    <w:p>
      <w:pPr>
        <w:spacing w:after="120"/>
      </w:pPr>
      <w:r>
        <w:t xml:space="preserve">Lithium-polymer (LiPo); record capacity, cell count and pack quantity. Batteries are charged to storage voltage between uses; the minimum landing reserve is set before flight to match Section 2.13.</w:t>
      </w:r>
    </w:p>
    <w:p>
      <w:pPr>
        <w:pStyle w:val="Heading2"/>
        <w:spacing w:after="110" w:before="220"/>
      </w:pPr>
      <w:r>
        <w:t xml:space="preserve">3.6 Engines and propellors</w:t>
      </w:r>
    </w:p>
    <w:p>
      <w:pPr>
        <w:spacing w:after="120"/>
      </w:pPr>
      <w:r>
        <w:t xml:space="preserve">Electric (battery) propulsion. Propellers/rotors are inspected before every flight and replaced per the manufacturer's criteria and after any strike.</w:t>
      </w:r>
    </w:p>
    <w:p>
      <w:pPr>
        <w:pStyle w:val="Heading2"/>
        <w:spacing w:after="110" w:before="220"/>
      </w:pPr>
      <w:r>
        <w:t xml:space="preserve">3.7 Navigation</w:t>
      </w:r>
    </w:p>
    <w:p>
      <w:pPr>
        <w:spacing w:after="120"/>
      </w:pPr>
      <w:r>
        <w:t xml:space="preserve">Flight controller / autopilot: Manufacturer's stock flight controller. Navigation uses GPS + GLONASS. On GNSS loss the aircraft reverts to the appropriate non-GNSS mode and the remote pilot lands per Section 2.16.8.</w:t>
      </w:r>
    </w:p>
    <w:p>
      <w:pPr>
        <w:pStyle w:val="Heading2"/>
        <w:spacing w:after="110" w:before="220"/>
      </w:pPr>
      <w:r>
        <w:t xml:space="preserve">3.8 C2 link</w:t>
      </w:r>
    </w:p>
    <w:p>
      <w:pPr>
        <w:spacing w:after="120"/>
      </w:pPr>
      <w:r>
        <w:t xml:space="preserve">2.4 GHz command-and-control link. The command-and-control (C2) link must be equipped with a control-system-failure mechanism (e.g. a defined lost-link behaviour). Confirm the declared range and lost-link trigger time from the manufacturer's manual.</w:t>
      </w:r>
    </w:p>
    <w:p>
      <w:pPr>
        <w:pStyle w:val="Heading2"/>
        <w:spacing w:after="110" w:before="220"/>
      </w:pPr>
      <w:r>
        <w:t xml:space="preserve">3.9 Geo-awareness</w:t>
      </w:r>
    </w:p>
    <w:p>
      <w:pPr>
        <w:spacing w:after="120"/>
      </w:pPr>
      <w:r>
        <w:t xml:space="preserve">Flight volume limitation (geo-cage/geofence) is available and set per Section 2.13 before flight.</w:t>
      </w:r>
    </w:p>
    <w:p>
      <w:pPr>
        <w:pStyle w:val="Heading2"/>
        <w:spacing w:after="110" w:before="220"/>
      </w:pPr>
      <w:r>
        <w:t xml:space="preserve">3.10 Payloads</w:t>
      </w:r>
    </w:p>
    <w:p>
      <w:pPr>
        <w:spacing w:after="120"/>
      </w:pPr>
      <w:r>
        <w:t xml:space="preserve">Camera carried; record the model, mounting, centre-of-gravity effect and security of attachment.</w:t>
      </w:r>
    </w:p>
    <w:p>
      <w:pPr>
        <w:pStyle w:val="Heading2"/>
        <w:spacing w:after="110" w:before="220"/>
      </w:pPr>
      <w:r>
        <w:t xml:space="preserve">3.11 Modifications to the system</w:t>
      </w:r>
    </w:p>
    <w:p>
      <w:pPr>
        <w:spacing w:after="120"/>
      </w:pPr>
      <w:r>
        <w:t xml:space="preserve">Modifications are recorded in the technical logbook and summarised here with their assessment and test-flight evidence.</w:t>
      </w:r>
    </w:p>
    <w:p>
      <w:pPr>
        <w:pStyle w:val="Heading1"/>
        <w:spacing w:after="140" w:before="280"/>
      </w:pPr>
      <w:r>
        <w:t xml:space="preserve">Annexes</w:t>
      </w:r>
    </w:p>
    <w:p>
      <w:pPr>
        <w:spacing w:after="120"/>
      </w:pPr>
      <w:r>
        <w:t xml:space="preserve">The CAP 2606 annex forms are provided as separate working documents in this pack:</w:t>
      </w:r>
    </w:p>
    <w:p>
      <w:pPr>
        <w:pStyle w:val="ListParagraph"/>
        <w:numPr>
          <w:ilvl w:val="0"/>
          <w:numId w:val="1"/>
        </w:numPr>
        <w:spacing w:after="60"/>
      </w:pPr>
      <w:r>
        <w:t xml:space="preserve">Annex 1 — Feasibility study: see the Site Survey &amp; Feasibility document.</w:t>
      </w:r>
    </w:p>
    <w:p>
      <w:pPr>
        <w:pStyle w:val="ListParagraph"/>
        <w:numPr>
          <w:ilvl w:val="0"/>
          <w:numId w:val="1"/>
        </w:numPr>
        <w:spacing w:after="60"/>
      </w:pPr>
      <w:r>
        <w:t xml:space="preserve">Annex 2 — Onsite survey: see the Site Survey &amp; Feasibility document.</w:t>
      </w:r>
    </w:p>
    <w:p>
      <w:pPr>
        <w:pStyle w:val="ListParagraph"/>
        <w:numPr>
          <w:ilvl w:val="0"/>
          <w:numId w:val="1"/>
        </w:numPr>
        <w:spacing w:after="60"/>
      </w:pPr>
      <w:r>
        <w:t xml:space="preserve">Annex 3 — Pre-flight briefing: see the Pre-Flight Checklist document.</w:t>
      </w:r>
    </w:p>
    <w:p>
      <w:pPr>
        <w:pStyle w:val="ListParagraph"/>
        <w:numPr>
          <w:ilvl w:val="0"/>
          <w:numId w:val="1"/>
        </w:numPr>
        <w:spacing w:after="60"/>
      </w:pPr>
      <w:r>
        <w:t xml:space="preserve">Annex 4 — Debriefing: see the Post-Flight Checklist document.</w:t>
      </w:r>
    </w:p>
    <w:p>
      <w:pPr>
        <w:pStyle w:val="ListParagraph"/>
        <w:numPr>
          <w:ilvl w:val="0"/>
          <w:numId w:val="1"/>
        </w:numPr>
        <w:spacing w:after="60"/>
      </w:pPr>
      <w:r>
        <w:t xml:space="preserve">Annex 5 — Occurrence and airprox reporting: see the Emergency Procedures document.</w:t>
      </w:r>
    </w:p>
    <w:p>
      <w:pPr>
        <w:pStyle w:val="ListParagraph"/>
        <w:numPr>
          <w:ilvl w:val="0"/>
          <w:numId w:val="1"/>
        </w:numPr>
        <w:spacing w:after="60"/>
      </w:pPr>
      <w:r>
        <w:t xml:space="preserve">Annex 6 — Other documents: attach insurance certificate, RPC-L1/GVC, and the operational authorisation upon receipt.</w:t>
      </w:r>
    </w:p>
    <w:p>
      <w:pPr>
        <w:pStyle w:val="Heading2"/>
        <w:spacing w:after="110" w:before="220"/>
      </w:pPr>
      <w:r>
        <w:t xml:space="preserve">Sources</w:t>
      </w:r>
    </w:p>
    <w:p>
      <w:pPr>
        <w:spacing w:after="120"/>
      </w:pPr>
      <w:r>
        <w:t xml:space="preserve">The regulatory statements in this document are drawn from the following official sources. Always check the current versions before operational use.</w:t>
      </w:r>
    </w:p>
    <w:p>
      <w:pPr>
        <w:pStyle w:val="ListParagraph"/>
        <w:numPr>
          <w:ilvl w:val="0"/>
          <w:numId w:val="1"/>
        </w:numPr>
        <w:spacing w:after="60"/>
      </w:pPr>
      <w:r>
        <w:t xml:space="preserve">https://www.caa.co.uk/drones/specific-category/pdra01-operational-authorisation/pdra01-overview/ (last checked 2026-07-09)</w:t>
      </w:r>
    </w:p>
    <w:p>
      <w:pPr>
        <w:pStyle w:val="ListParagraph"/>
        <w:numPr>
          <w:ilvl w:val="0"/>
          <w:numId w:val="1"/>
        </w:numPr>
        <w:spacing w:after="60"/>
      </w:pPr>
      <w:r>
        <w:t xml:space="preserve">https://www.caa.co.uk/drones/specific-category/pdra01-operational-authorisation/remote-pilot-competencies-and-responsibilities/ (last checked 2026-07-09)</w:t>
      </w:r>
    </w:p>
    <w:p>
      <w:pPr>
        <w:pStyle w:val="ListParagraph"/>
        <w:numPr>
          <w:ilvl w:val="0"/>
          <w:numId w:val="1"/>
        </w:numPr>
        <w:spacing w:after="60"/>
      </w:pPr>
      <w:r>
        <w:t xml:space="preserve">https://www.caa.co.uk/drones/specific-category/remote-pilot-qualifications/level-1-2-and-3-remote-pilot-certificates-and-gvc/ (last checked 2026-07-09)</w:t>
      </w:r>
    </w:p>
    <w:p>
      <w:pPr>
        <w:pStyle w:val="ListParagraph"/>
        <w:numPr>
          <w:ilvl w:val="0"/>
          <w:numId w:val="1"/>
        </w:numPr>
        <w:spacing w:after="60"/>
      </w:pPr>
      <w:r>
        <w:t xml:space="preserve">https://www.caa.co.uk/drones/specific-category/pdra01-operational-authorisation/pdra01-oversight-and-enforcement/ (last checked 2026-07-09)</w:t>
      </w:r>
    </w:p>
    <w:p>
      <w:pPr>
        <w:pStyle w:val="ListParagraph"/>
        <w:numPr>
          <w:ilvl w:val="0"/>
          <w:numId w:val="1"/>
        </w:numPr>
        <w:spacing w:after="60"/>
      </w:pPr>
      <w:r>
        <w:t xml:space="preserve">https://www.caa.co.uk/drones/specific-category/pdra01-operational-authorisation/apply-for-a-pdra01-operational-authorisation/ (last checked 2026-07-09)</w:t>
      </w:r>
    </w:p>
    <w:p>
      <w:pPr>
        <w:pStyle w:val="ListParagraph"/>
        <w:numPr>
          <w:ilvl w:val="0"/>
          <w:numId w:val="1"/>
        </w:numPr>
        <w:spacing w:after="60"/>
      </w:pPr>
      <w:r>
        <w:t xml:space="preserve">https://www.caa.co.uk/data-and-publications/publications/documents/content/cap2606/ (last checked 2026-07-09)</w:t>
      </w:r>
    </w:p>
    <w:p>
      <w:pPr>
        <w:pStyle w:val="ListParagraph"/>
        <w:numPr>
          <w:ilvl w:val="0"/>
          <w:numId w:val="1"/>
        </w:numPr>
        <w:spacing w:after="60"/>
      </w:pPr>
      <w:r>
        <w:t xml:space="preserve">https://www.caa.co.uk/data-and-publications/publications/documents/content/cap2606a/ (last checked 2026-07-09)</w:t>
      </w:r>
    </w:p>
    <w:p>
      <w:pPr>
        <w:pStyle w:val="ListParagraph"/>
        <w:numPr>
          <w:ilvl w:val="0"/>
          <w:numId w:val="1"/>
        </w:numPr>
        <w:spacing w:after="60"/>
      </w:pPr>
      <w:r>
        <w:t xml:space="preserve">https://www.caa.co.uk/data-and-publications/publications/documents/content/cap2606b/ (last checked 2026-07-09)</w:t>
      </w:r>
    </w:p>
    <w:p>
      <w:pPr>
        <w:pStyle w:val="ListParagraph"/>
        <w:numPr>
          <w:ilvl w:val="0"/>
          <w:numId w:val="1"/>
        </w:numPr>
        <w:spacing w:after="60"/>
      </w:pPr>
      <w:r>
        <w:t xml:space="preserve">https://www.caa.co.uk/drones/specific-category/uk-sora-based-operational-authorisations/uk-sora-based-operational-authorisations/ (last checked 2026-07-09)</w:t>
      </w:r>
    </w:p>
    <w:p>
      <w:pPr>
        <w:pStyle w:val="ListParagraph"/>
        <w:numPr>
          <w:ilvl w:val="0"/>
          <w:numId w:val="1"/>
        </w:numPr>
        <w:spacing w:after="60"/>
      </w:pPr>
      <w:r>
        <w:t xml:space="preserve">https://ico.org.uk/for-organisations/uk-gdpr-guidance-and-resources/cctv-and-video-surveillance/guidance-on-video-surveillance-including-cctv/additional-considerations-for-technologies-other-than-cctv/unmanned-aerial-systems-uas-drones/ (last checked 2026-07-09)</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2026-07-10T04:02:34.975Z</dcterms:created>
  <dcterms:modified xsi:type="dcterms:W3CDTF">2026-07-10T04:02:34.976Z</dcterms:modified>
</cp:coreProperties>
</file>

<file path=docProps/custom.xml><?xml version="1.0" encoding="utf-8"?>
<Properties xmlns="http://schemas.openxmlformats.org/officeDocument/2006/custom-properties" xmlns:vt="http://schemas.openxmlformats.org/officeDocument/2006/docPropsVTypes"/>
</file>